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2"/>
        <w:gridCol w:w="879"/>
        <w:gridCol w:w="6339"/>
        <w:gridCol w:w="945"/>
      </w:tblGrid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 w:rsidP="00A41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ДОГОВОР № 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ПРЕДОСТАВЛЕНИЕ УСЛУГ ПО ТЕПЛОВОДОСНАБЖЕНИЮ И ВОДООТВЕДЕНИЮ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ГРАЖДАНАМ-НАНИМАТЕЛЯМ ЖИЛЫХ ПОМЕЩЕНИЙ,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ВЛАДЕЛЬЦАМ ПРИВАТИЗИРОВАННЫХ ЖИЛЫХ ПОМЕЩЕНИЙ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 w:rsidP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лице 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действующей на основании 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, именуемое в дальнейшем «Поставщик», с одной стороны и гражданин (ка)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3CBD" w:rsidRDefault="00203CBD">
            <w:pPr>
              <w:jc w:val="both"/>
            </w:pPr>
            <w:bookmarkStart w:id="0" w:name="_GoBack"/>
            <w:bookmarkEnd w:id="0"/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именуемый в дальнейшем "Потребитель", с другой стороны, заключили настоящий договор о нижесле</w:t>
            </w:r>
            <w:r>
              <w:rPr>
                <w:rFonts w:ascii="Times New Roman" w:hAnsi="Times New Roman"/>
                <w:sz w:val="24"/>
                <w:szCs w:val="24"/>
              </w:rPr>
              <w:t>дующем: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ПРЕДМЕТ ДОГОВОРА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Поставщик обеспечивает предоставление услуг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тепловодоснабжению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водоотведению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далее по тексту коммунальные услуги) в соответствии с установленными правилами и нормами, а Потребитель своевременно оплачивает за </w:t>
            </w:r>
            <w:r>
              <w:rPr>
                <w:rFonts w:ascii="Times New Roman" w:hAnsi="Times New Roman"/>
                <w:sz w:val="24"/>
                <w:szCs w:val="24"/>
              </w:rPr>
              <w:t>фактически потребленные услуги по жилому помещению, расположенному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76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03CBD" w:rsidRDefault="00A417A1">
            <w:r>
              <w:rPr>
                <w:rFonts w:ascii="Times New Roman" w:hAnsi="Times New Roman"/>
                <w:sz w:val="24"/>
                <w:szCs w:val="24"/>
              </w:rPr>
              <w:t>по адресу</w:t>
            </w:r>
          </w:p>
        </w:tc>
        <w:tc>
          <w:tcPr>
            <w:tcW w:w="721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3CBD" w:rsidRDefault="00203CBD"/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762" w:type="dxa"/>
            <w:shd w:val="clear" w:color="FFFFFF" w:fill="auto"/>
            <w:vAlign w:val="bottom"/>
          </w:tcPr>
          <w:p w:rsidR="00203CBD" w:rsidRDefault="00A417A1">
            <w:r>
              <w:rPr>
                <w:rFonts w:ascii="Times New Roman" w:hAnsi="Times New Roman"/>
                <w:sz w:val="24"/>
                <w:szCs w:val="24"/>
              </w:rPr>
              <w:t>общей площадью</w:t>
            </w:r>
          </w:p>
        </w:tc>
        <w:tc>
          <w:tcPr>
            <w:tcW w:w="721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3CBD" w:rsidRDefault="00A417A1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762" w:type="dxa"/>
            <w:shd w:val="clear" w:color="FFFFFF" w:fill="auto"/>
            <w:vAlign w:val="bottom"/>
          </w:tcPr>
          <w:p w:rsidR="00203CBD" w:rsidRDefault="00A417A1"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721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3CBD" w:rsidRDefault="00203CBD"/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762" w:type="dxa"/>
            <w:shd w:val="clear" w:color="FFFFFF" w:fill="auto"/>
            <w:vAlign w:val="bottom"/>
          </w:tcPr>
          <w:p w:rsidR="00203CBD" w:rsidRDefault="00A417A1">
            <w:r>
              <w:rPr>
                <w:rFonts w:ascii="Times New Roman" w:hAnsi="Times New Roman"/>
                <w:sz w:val="24"/>
                <w:szCs w:val="24"/>
              </w:rPr>
              <w:t>на лицевой счет номер</w:t>
            </w:r>
          </w:p>
        </w:tc>
        <w:tc>
          <w:tcPr>
            <w:tcW w:w="721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3CBD" w:rsidRDefault="00203CBD"/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Настоящий договор является публичным (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426 ГК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), договором присоединения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428 ГК РФ ).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ОБЩИЕ ПОЛОЖЕНИЯ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2.1. Предоставление услуг (отопление, горячее, холодное водоснабжение, водоотведение) производится в соответствии с правилами, установленными правовыми актами Российской Федерации, ХМАО,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Качество услуг, режим их предоставления, нормативные объемы потребления утверждаются Постановлением Главы муниципального образования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2.3. Предоставление услуг является бесперебойным круглосуточным,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исключением времени перерывов: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для проведения ремонтных и профилактических работ в соответствии с действующими строительными нормами и правилами, правилами технической эксплуатации, положениями о проведении текущих и капитальных ремонтов и другими норм</w:t>
            </w:r>
            <w:r>
              <w:rPr>
                <w:rFonts w:ascii="Times New Roman" w:hAnsi="Times New Roman"/>
                <w:sz w:val="24"/>
                <w:szCs w:val="24"/>
              </w:rPr>
              <w:t>ативными документами;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межотопительный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для систем отопления;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в связи со стихийными бедствиями, а также чрезвычайными ситуациями, не зависящими от Поставщика.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ОБЯЗАННОСТИ СТОРОН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r>
              <w:rPr>
                <w:rFonts w:ascii="Times New Roman" w:hAnsi="Times New Roman"/>
                <w:b/>
                <w:sz w:val="24"/>
                <w:szCs w:val="24"/>
              </w:rPr>
              <w:t>3.1. Обязанности Потребителя: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3.1.1. Соблюдать требования </w:t>
            </w:r>
            <w:r>
              <w:rPr>
                <w:rFonts w:ascii="Times New Roman" w:hAnsi="Times New Roman"/>
                <w:sz w:val="24"/>
                <w:szCs w:val="24"/>
              </w:rPr>
              <w:t>техники безопасности при пользовании коммунальными услугами.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3.1.2. Оплачивать коммунальные услуги в порядке, в сроки и на условиях, определенных действующими законодательными, нормативными актами и настоящим договором.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3.1.3. Допускать в занимаемое поме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щение должностных лиц Поставщика для осмотра приборов учета, а также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эксплуатацией.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3.1.4. Согласовывать с Поставщиком изменение схемы учета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счетчику, начислению) поставляемых услуг.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3.1.5. При расчете по приборам учета предоставлять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Поставщику показания не позднее последнего числа отчетного месяца.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3.1.6. Своевременно  извещать Поставщика  об  изменении  количества  проживающих  в  жилом  помещении   лиц.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3.1.7. В случае освобождения жилого помещения (смена места жительства, смена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обственника) Потребитель обязан известить Поставщика о  произошедшем изменении,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предоставив  подтверждающие  документы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r>
              <w:rPr>
                <w:rFonts w:ascii="Times New Roman" w:hAnsi="Times New Roman"/>
                <w:b/>
                <w:sz w:val="24"/>
                <w:szCs w:val="24"/>
              </w:rPr>
              <w:t>3.2. Обязанности Поставщика: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3.2.1.Обеспечивать Потребителя коммунальными услугами; состав предоставляемых коммунальных услуг определ</w:t>
            </w:r>
            <w:r>
              <w:rPr>
                <w:rFonts w:ascii="Times New Roman" w:hAnsi="Times New Roman"/>
                <w:sz w:val="24"/>
                <w:szCs w:val="24"/>
              </w:rPr>
              <w:t>яется степенью благоустройства жилого дома.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3.2.2. Принимать своевременные меры по предупреждению и устранению нарушений качества предоставляемых Потребителю коммунальных услуг.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3.2.3. Производить расчеты с населением за отопление, горячее, холодное водо</w:t>
            </w:r>
            <w:r>
              <w:rPr>
                <w:rFonts w:ascii="Times New Roman" w:hAnsi="Times New Roman"/>
                <w:sz w:val="24"/>
                <w:szCs w:val="24"/>
              </w:rPr>
              <w:t>снабжение, водоотведение и выдавать Потребителю расчетные документы за оказанные услуги.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ПРАВА СТОРОН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r>
              <w:rPr>
                <w:rFonts w:ascii="Times New Roman" w:hAnsi="Times New Roman"/>
                <w:b/>
                <w:sz w:val="24"/>
                <w:szCs w:val="24"/>
              </w:rPr>
              <w:t>4.1. Потребитель имеет право: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4.1.1. На получение коммунальных услуг, предусмотренных договором, установленного качества, безопасных для его жизни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здоровья, не причиняющих вреда его имуществу.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ребовать перерасчета коммунальных услуг в соответствии с установленным порядком.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r>
              <w:rPr>
                <w:rFonts w:ascii="Times New Roman" w:hAnsi="Times New Roman"/>
                <w:b/>
                <w:sz w:val="24"/>
                <w:szCs w:val="24"/>
              </w:rPr>
              <w:t>4.2. Поставщик имеет право: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4.2.1. Осуществлять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потреблением коммунальных услуг путем проведения осмотров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инженерного оборудования и приборов учета у Потребителя.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4.2.2. В установленном законом порядке требовать возмещения убытков, понесенных в результате нарушения Потребителем обязательств по платежам, и иных убытков, причиненных Потребителем из-за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невыполнения условий договора.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4.2.3. Производить перерасчет в одностороннем порядке за предоставленные коммунальные услуги с момента изменения тарифов, установленных в порядке, определенном законодательством РФ.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4.2.4. В случае неоплаты в установленный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 Поставщик имеет право произвести ограничение оказываемых услуг с дальнейшим прекращением отпуска тепловой энергии, воды и приема сточных вод после письменного предупреждения до полного погашения задолженности.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ОТВЕТСТВЕННОСТЬ СТОРОН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r>
              <w:rPr>
                <w:rFonts w:ascii="Times New Roman" w:hAnsi="Times New Roman"/>
                <w:b/>
                <w:sz w:val="24"/>
                <w:szCs w:val="24"/>
              </w:rPr>
              <w:t>5.1. Ответст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венность Потребителя: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5.1.1. При выявлении факта превышения количества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указанных в лицевом счете, Потребитель несет ответственность, предусмотренную действующим законодательством.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r>
              <w:rPr>
                <w:rFonts w:ascii="Times New Roman" w:hAnsi="Times New Roman"/>
                <w:b/>
                <w:sz w:val="24"/>
                <w:szCs w:val="24"/>
              </w:rPr>
              <w:t>5.2. Ответственность Поставщика: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5.2.1. За необеспечение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неполное обеспечение Потребителя коммунальными услугами в соответствии с условиями настоящего договора Поставщик несет ответственность,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возмещению ущерба, в порядке и размерах, установленных действующим законодательством, нормативными актами орг</w:t>
            </w:r>
            <w:r>
              <w:rPr>
                <w:rFonts w:ascii="Times New Roman" w:hAnsi="Times New Roman"/>
                <w:sz w:val="24"/>
                <w:szCs w:val="24"/>
              </w:rPr>
              <w:t>анов муниципального образования и настоящим договором.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5.2.2. В случае невыполнения Поставщиком принятых на себя обязательств по договору он несет ответственность в соответствии с Гражданским кодексом Российской Федерации.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ПОРЯДОК РАСЧЕТОВ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6.1.Размер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платы за коммунальные услуги рассчитывается по тарифам, утвержденным в установленном порядке.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6.2. Расчетный  период  для  оплаты  коммунальных  услуг устанавливается  в  один  календарный  месяц,  срок  внесения  платежей  до  10  числа  месяца,  следую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щего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отчетным. Оплата производится на основании платежного документа, предоставляемого Поставщиком, на расчетный счет Поставщика через действующие пункты приема коммунальных платежей. Поставщик предоставляет счет-квитанцию по запросу Потребителя,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чего необходимо обратиться в группу по расчету с населением в рабочее время по адресу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ефтепромышленная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Плата за услуги  вносится в течение года  равномерно согласно установленным нормативам.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При  наличии  узла  учета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теплоэнергии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на  вводе  в  жил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дом  оплата  производится  за  фактически  потребленное  по  месяцам  отопительного  сезона  количество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теплоэнергии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Размер  платы  за отопление  отдельной  квартиры  определяется  пропорционально  отношению  общей  площади  отдельной  квартиры  к  о</w:t>
            </w:r>
            <w:r>
              <w:rPr>
                <w:rFonts w:ascii="Times New Roman" w:hAnsi="Times New Roman"/>
                <w:sz w:val="24"/>
                <w:szCs w:val="24"/>
              </w:rPr>
              <w:t>бщей  площади  всех  квартир  жилого  дома.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6.3. При несвоевременном предоставлении показаний приборов учета оплата взимается по действующим нормативам потребления коммунальных услуг.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6.4. За нарушение сроков оплаты услуг Поставщик имеет право начислять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Потребителю пеню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размере одной трехсотой действующей на момент оплаты ставки рефинансирования Центрального банка РФ от невыплаченных в срок сумм за каждый день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просрочки, начиная со следующего дня после установленного срока оплаты по день фактического р</w:t>
            </w:r>
            <w:r>
              <w:rPr>
                <w:rFonts w:ascii="Times New Roman" w:hAnsi="Times New Roman"/>
                <w:sz w:val="24"/>
                <w:szCs w:val="24"/>
              </w:rPr>
              <w:t>асчета включительно. Суммы штрафных санкций (пени), предъявленные Поставщиком за нарушение условий настоящего договора, считаются признанными с момента предъявления их Поставщиком.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случае неоплаты суммы штрафных санкций подлежат взысканию в судебном поря</w:t>
            </w:r>
            <w:r>
              <w:rPr>
                <w:rFonts w:ascii="Times New Roman" w:hAnsi="Times New Roman"/>
                <w:sz w:val="24"/>
                <w:szCs w:val="24"/>
              </w:rPr>
              <w:t>дке.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ПОРЯДОК РАЗРЕШЕНИЯ СПОРОВ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7.1. Все  споры  и  разногласия,  которые могут возникнуть по  настоящему  договору,  стороны  будут  стремиться  разрешить путем   переговоров.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7.2. В случае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если указанные споры  и разногласия не  будут урегулирован</w:t>
            </w:r>
            <w:r>
              <w:rPr>
                <w:rFonts w:ascii="Times New Roman" w:hAnsi="Times New Roman"/>
                <w:sz w:val="24"/>
                <w:szCs w:val="24"/>
              </w:rPr>
              <w:t>ы   путем  переговоров,   они  подлежат   разрешению  в  соответствии   с    действующим  законодательством Российской    Федерации.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ЗАКЛЮЧИТЕЛЬНЫЕ ПОЛОЖЕНИЯ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8.1. Действие настоящего договора прекращается по основаниям, предусмотренным гражданским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законодательством Российской Федерации.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8.2. Срок действия договора с 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8.3.Документы по настоящему договору,  подписанные  путем  факсимильного  воспроизведения  подписи,  имеют  полную  юридическую  силу.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8.4. Настоящий договор составлен в </w:t>
            </w:r>
            <w:r>
              <w:rPr>
                <w:rFonts w:ascii="Times New Roman" w:hAnsi="Times New Roman"/>
                <w:sz w:val="24"/>
                <w:szCs w:val="24"/>
              </w:rPr>
              <w:t>двух экземплярах. Оба экземпляра идентичны и имеют одинаковую юридическую силу. У каждой из сторон находится один экземпляр договора.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8.5.Вопросы, неурегулированные настоящим договором, регулируются действующим гражданским законодательством.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203CBD">
            <w:pPr>
              <w:jc w:val="center"/>
            </w:pP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A41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ПОДПИСИ 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ОРОН: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41" w:type="dxa"/>
            <w:gridSpan w:val="2"/>
            <w:shd w:val="clear" w:color="FFFFFF" w:fill="auto"/>
            <w:vAlign w:val="bottom"/>
          </w:tcPr>
          <w:p w:rsidR="00203CBD" w:rsidRDefault="00A41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7284" w:type="dxa"/>
            <w:gridSpan w:val="2"/>
            <w:shd w:val="clear" w:color="FFFFFF" w:fill="auto"/>
            <w:vAlign w:val="bottom"/>
          </w:tcPr>
          <w:p w:rsidR="00203CBD" w:rsidRDefault="00A41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ПОТРЕБИТЕЛЬ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2980" w:type="dxa"/>
            <w:gridSpan w:val="3"/>
            <w:shd w:val="clear" w:color="FFFFFF" w:fill="auto"/>
            <w:vAlign w:val="bottom"/>
          </w:tcPr>
          <w:p w:rsidR="00203CBD" w:rsidRDefault="00203CBD"/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762" w:type="dxa"/>
            <w:shd w:val="clear" w:color="FFFFFF" w:fill="auto"/>
            <w:vAlign w:val="bottom"/>
          </w:tcPr>
          <w:p w:rsidR="00203CBD" w:rsidRDefault="00A417A1">
            <w:r>
              <w:rPr>
                <w:rFonts w:ascii="Times New Roman" w:hAnsi="Times New Roman"/>
                <w:b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879" w:type="dxa"/>
            <w:shd w:val="clear" w:color="FFFFFF" w:fill="auto"/>
            <w:vAlign w:val="bottom"/>
          </w:tcPr>
          <w:p w:rsidR="00203CBD" w:rsidRDefault="00203CBD"/>
        </w:tc>
        <w:tc>
          <w:tcPr>
            <w:tcW w:w="7284" w:type="dxa"/>
            <w:gridSpan w:val="2"/>
            <w:shd w:val="clear" w:color="FFFFFF" w:fill="auto"/>
            <w:vAlign w:val="bottom"/>
          </w:tcPr>
          <w:p w:rsidR="00203CBD" w:rsidRDefault="00A417A1"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_________________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641" w:type="dxa"/>
            <w:gridSpan w:val="2"/>
            <w:shd w:val="clear" w:color="FFFFFF" w:fill="auto"/>
            <w:vAlign w:val="bottom"/>
          </w:tcPr>
          <w:p w:rsidR="00203CBD" w:rsidRDefault="00A41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7284" w:type="dxa"/>
            <w:gridSpan w:val="2"/>
            <w:shd w:val="clear" w:color="FFFFFF" w:fill="auto"/>
            <w:vAlign w:val="bottom"/>
          </w:tcPr>
          <w:p w:rsidR="00203CBD" w:rsidRDefault="00A417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ПАСПОРТА: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641" w:type="dxa"/>
            <w:gridSpan w:val="2"/>
            <w:shd w:val="clear" w:color="FFFFFF" w:fill="auto"/>
            <w:vAlign w:val="bottom"/>
          </w:tcPr>
          <w:p w:rsidR="00203CBD" w:rsidRDefault="00A417A1">
            <w:r>
              <w:rPr>
                <w:rFonts w:ascii="Times New Roman" w:hAnsi="Times New Roman"/>
                <w:sz w:val="24"/>
                <w:szCs w:val="24"/>
              </w:rPr>
              <w:t>628685, Российская Федерация, Ханты-Мансийский</w:t>
            </w:r>
          </w:p>
        </w:tc>
        <w:tc>
          <w:tcPr>
            <w:tcW w:w="63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3CBD" w:rsidRDefault="00203CBD" w:rsidP="00A417A1"/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641" w:type="dxa"/>
            <w:gridSpan w:val="2"/>
            <w:shd w:val="clear" w:color="FFFFFF" w:fill="auto"/>
            <w:vAlign w:val="bottom"/>
          </w:tcPr>
          <w:p w:rsidR="00203CBD" w:rsidRDefault="00A417A1">
            <w:r>
              <w:rPr>
                <w:rFonts w:ascii="Times New Roman" w:hAnsi="Times New Roman"/>
                <w:sz w:val="24"/>
                <w:szCs w:val="24"/>
              </w:rPr>
              <w:t xml:space="preserve">автономный округ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гра,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63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3CBD" w:rsidRDefault="00A417A1">
            <w:r>
              <w:rPr>
                <w:rFonts w:ascii="Times New Roman" w:hAnsi="Times New Roman"/>
                <w:sz w:val="24"/>
                <w:szCs w:val="24"/>
              </w:rPr>
              <w:t xml:space="preserve">выдан 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641" w:type="dxa"/>
            <w:gridSpan w:val="2"/>
            <w:shd w:val="clear" w:color="FFFFFF" w:fill="auto"/>
            <w:vAlign w:val="bottom"/>
          </w:tcPr>
          <w:p w:rsidR="00203CBD" w:rsidRDefault="00A417A1"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Нефтепромышленная, 2</w:t>
            </w:r>
          </w:p>
        </w:tc>
        <w:tc>
          <w:tcPr>
            <w:tcW w:w="63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3CBD" w:rsidRDefault="00A417A1">
            <w:r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641" w:type="dxa"/>
            <w:gridSpan w:val="2"/>
            <w:shd w:val="clear" w:color="FFFFFF" w:fill="auto"/>
            <w:vAlign w:val="bottom"/>
          </w:tcPr>
          <w:p w:rsidR="00203CBD" w:rsidRDefault="00A417A1">
            <w:r>
              <w:rPr>
                <w:rFonts w:ascii="Times New Roman" w:hAnsi="Times New Roman"/>
                <w:sz w:val="24"/>
                <w:szCs w:val="24"/>
              </w:rPr>
              <w:t>Тел: 47133, 47030</w:t>
            </w:r>
          </w:p>
        </w:tc>
        <w:tc>
          <w:tcPr>
            <w:tcW w:w="63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3CBD" w:rsidRDefault="00A417A1">
            <w:r>
              <w:rPr>
                <w:rFonts w:ascii="Times New Roman" w:hAnsi="Times New Roman"/>
                <w:sz w:val="24"/>
                <w:szCs w:val="24"/>
              </w:rPr>
              <w:t xml:space="preserve">прописан: 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641" w:type="dxa"/>
            <w:gridSpan w:val="2"/>
            <w:shd w:val="clear" w:color="FFFFFF" w:fill="auto"/>
            <w:vAlign w:val="bottom"/>
          </w:tcPr>
          <w:p w:rsidR="00203CBD" w:rsidRDefault="00203CBD"/>
        </w:tc>
        <w:tc>
          <w:tcPr>
            <w:tcW w:w="63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3CBD" w:rsidRDefault="00A417A1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641" w:type="dxa"/>
            <w:gridSpan w:val="2"/>
            <w:shd w:val="clear" w:color="FFFFFF" w:fill="auto"/>
            <w:vAlign w:val="bottom"/>
          </w:tcPr>
          <w:p w:rsidR="00203CBD" w:rsidRDefault="00203CBD"/>
        </w:tc>
        <w:tc>
          <w:tcPr>
            <w:tcW w:w="63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3CBD" w:rsidRDefault="00A417A1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омашний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762" w:type="dxa"/>
            <w:shd w:val="clear" w:color="FFFFFF" w:fill="auto"/>
            <w:vAlign w:val="bottom"/>
          </w:tcPr>
          <w:p w:rsidR="00203CBD" w:rsidRDefault="00203CBD"/>
        </w:tc>
        <w:tc>
          <w:tcPr>
            <w:tcW w:w="879" w:type="dxa"/>
            <w:shd w:val="clear" w:color="FFFFFF" w:fill="auto"/>
            <w:vAlign w:val="bottom"/>
          </w:tcPr>
          <w:p w:rsidR="00203CBD" w:rsidRDefault="00203CBD"/>
        </w:tc>
        <w:tc>
          <w:tcPr>
            <w:tcW w:w="63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3CBD" w:rsidRDefault="00A417A1">
            <w:r>
              <w:rPr>
                <w:rFonts w:ascii="Times New Roman" w:hAnsi="Times New Roman"/>
                <w:sz w:val="24"/>
                <w:szCs w:val="24"/>
              </w:rPr>
              <w:t>место работы: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762" w:type="dxa"/>
            <w:shd w:val="clear" w:color="FFFFFF" w:fill="auto"/>
            <w:vAlign w:val="bottom"/>
          </w:tcPr>
          <w:p w:rsidR="00203CBD" w:rsidRDefault="00203CBD"/>
        </w:tc>
        <w:tc>
          <w:tcPr>
            <w:tcW w:w="879" w:type="dxa"/>
            <w:shd w:val="clear" w:color="FFFFFF" w:fill="auto"/>
            <w:vAlign w:val="bottom"/>
          </w:tcPr>
          <w:p w:rsidR="00203CBD" w:rsidRDefault="00203CBD"/>
        </w:tc>
        <w:tc>
          <w:tcPr>
            <w:tcW w:w="63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3CBD" w:rsidRDefault="00A417A1" w:rsidP="00A417A1">
            <w:r>
              <w:rPr>
                <w:rFonts w:ascii="Times New Roman" w:hAnsi="Times New Roman"/>
                <w:sz w:val="24"/>
                <w:szCs w:val="24"/>
              </w:rPr>
              <w:t xml:space="preserve">Дата рождения: </w:t>
            </w:r>
          </w:p>
        </w:tc>
      </w:tr>
      <w:tr w:rsidR="00203C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762" w:type="dxa"/>
            <w:shd w:val="clear" w:color="FFFFFF" w:fill="auto"/>
            <w:vAlign w:val="bottom"/>
          </w:tcPr>
          <w:p w:rsidR="00203CBD" w:rsidRDefault="00203CBD"/>
        </w:tc>
        <w:tc>
          <w:tcPr>
            <w:tcW w:w="879" w:type="dxa"/>
            <w:shd w:val="clear" w:color="FFFFFF" w:fill="auto"/>
            <w:vAlign w:val="bottom"/>
          </w:tcPr>
          <w:p w:rsidR="00203CBD" w:rsidRDefault="00203CBD"/>
        </w:tc>
        <w:tc>
          <w:tcPr>
            <w:tcW w:w="63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03CBD" w:rsidRDefault="00A417A1" w:rsidP="00A417A1">
            <w:r>
              <w:rPr>
                <w:rFonts w:ascii="Times New Roman" w:hAnsi="Times New Roman"/>
                <w:sz w:val="24"/>
                <w:szCs w:val="24"/>
              </w:rPr>
              <w:t xml:space="preserve">Место рождения: </w:t>
            </w:r>
          </w:p>
        </w:tc>
      </w:tr>
    </w:tbl>
    <w:p w:rsidR="00000000" w:rsidRDefault="00A417A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3CBD"/>
    <w:rsid w:val="00203CBD"/>
    <w:rsid w:val="00A4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1300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Чекушкина Татьяна</cp:lastModifiedBy>
  <cp:revision>2</cp:revision>
  <dcterms:created xsi:type="dcterms:W3CDTF">2018-03-01T06:50:00Z</dcterms:created>
  <dcterms:modified xsi:type="dcterms:W3CDTF">2018-03-01T06:53:00Z</dcterms:modified>
</cp:coreProperties>
</file>